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5F" w:rsidRDefault="000E6C5F">
      <w:pPr>
        <w:pStyle w:val="ConsPlusNormal"/>
        <w:jc w:val="both"/>
      </w:pPr>
    </w:p>
    <w:p w:rsidR="000E6C5F" w:rsidRDefault="000E6C5F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0E6C5F" w:rsidRDefault="000E6C5F">
      <w:pPr>
        <w:pStyle w:val="ConsPlusNormal"/>
        <w:spacing w:before="220"/>
        <w:jc w:val="both"/>
      </w:pPr>
      <w:r>
        <w:t>Республики Беларусь 16 мая 2018 г. N 8/33113</w:t>
      </w:r>
    </w:p>
    <w:p w:rsidR="000E6C5F" w:rsidRDefault="000E6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C5F" w:rsidRDefault="000E6C5F">
      <w:pPr>
        <w:pStyle w:val="ConsPlusNormal"/>
      </w:pPr>
    </w:p>
    <w:p w:rsidR="000E6C5F" w:rsidRDefault="000E6C5F">
      <w:pPr>
        <w:pStyle w:val="ConsPlusTitle"/>
        <w:jc w:val="center"/>
      </w:pPr>
      <w:r>
        <w:t>ПОСТАНОВЛЕНИЕ МИНИСТЕРСТВА ПО ЧРЕЗВЫЧАЙНЫМ СИТУАЦИЯМ РЕСПУБЛИКИ БЕЛАРУСЬ</w:t>
      </w:r>
    </w:p>
    <w:p w:rsidR="000E6C5F" w:rsidRDefault="000E6C5F">
      <w:pPr>
        <w:pStyle w:val="ConsPlusTitle"/>
        <w:jc w:val="center"/>
      </w:pPr>
      <w:r>
        <w:t>28 апреля 2018 г. N 28</w:t>
      </w:r>
    </w:p>
    <w:p w:rsidR="000E6C5F" w:rsidRDefault="000E6C5F">
      <w:pPr>
        <w:pStyle w:val="ConsPlusTitle"/>
        <w:jc w:val="center"/>
      </w:pPr>
    </w:p>
    <w:p w:rsidR="000E6C5F" w:rsidRDefault="000E6C5F">
      <w:pPr>
        <w:pStyle w:val="ConsPlusTitle"/>
        <w:jc w:val="center"/>
      </w:pPr>
      <w:r>
        <w:t>ОБ УСТАНОВЛЕНИИ ТРЕБОВАНИЙ К СОДЕРЖАНИЮ ОБЩЕОБЪЕКТОВОЙ ИНСТРУКЦИИ ПО ПОЖАРНОЙ БЕЗОПАСНОСТИ</w:t>
      </w:r>
    </w:p>
    <w:p w:rsidR="000E6C5F" w:rsidRDefault="000E6C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C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C5F" w:rsidRDefault="000E6C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МЧС от 10.06.2019 N 41)</w:t>
            </w:r>
          </w:p>
        </w:tc>
      </w:tr>
    </w:tbl>
    <w:p w:rsidR="000E6C5F" w:rsidRDefault="000E6C5F">
      <w:pPr>
        <w:pStyle w:val="ConsPlusNormal"/>
      </w:pPr>
    </w:p>
    <w:p w:rsidR="000E6C5F" w:rsidRDefault="000E6C5F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пункта 7</w:t>
        </w:r>
      </w:hyperlink>
      <w:r>
        <w:t xml:space="preserve"> общих требований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 ноября 2017 г. N 7, </w:t>
      </w:r>
      <w:hyperlink r:id="rId7" w:history="1">
        <w:r>
          <w:rPr>
            <w:color w:val="0000FF"/>
          </w:rPr>
          <w:t>подпункта 7.4 пункта 7</w:t>
        </w:r>
      </w:hyperlink>
      <w: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N 756</w:t>
      </w:r>
      <w:proofErr w:type="gramEnd"/>
      <w:r>
        <w:t>, Министерство по чрезвычайным ситуациям Республики Беларусь ПОСТАНОВЛЯЕТ:</w:t>
      </w:r>
    </w:p>
    <w:p w:rsidR="000E6C5F" w:rsidRDefault="000E6C5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МЧС от 10.06.2019 N 41)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 xml:space="preserve">1. Установить, что в </w:t>
      </w:r>
      <w:proofErr w:type="spellStart"/>
      <w:r>
        <w:t>общеобъектовой</w:t>
      </w:r>
      <w:proofErr w:type="spellEnd"/>
      <w:r>
        <w:t xml:space="preserve"> инструкции по пожарной безопасности должны содержаться: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общая характеристика пожарной опасности объекта, обращающихся в процессе эксплуатации веществ, материалов и оборудования;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обязанности работников по соблюдению противопожарного режима;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требования к содержанию территории, в том числе дорог, подъездов и проездов к зданиям, сооружениям, наружным установкам, источникам наружного противопожарного водоснабжения;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требования к эксплуатации зданий, сооружений, помещений, наружных установок;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мероприятия по обеспечению пожарной безопасности при осуществлении деятельности юридическим лицом, индивидуальным предпринимателем (далее - субъекты хозяйствования);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порядок, нормы хранения и транспортировки веществ и материалов с учетом их агрегатного состояния, совместимости хранения, а также однородности средств тушения;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порядок сбора, хранения и удаления горючих веществ и материалов, содержания и хранения специальной одежды (при необходимости);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порядок и периодичность уборки горючих отходов и пыли;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порядок осмотра помещений перед завершением в них работы;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порядок доступа в помещения и порядок хранения ключей от них;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порядок организации тренировочных занятий по эвакуации людей при пожаре;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порядок эксплуатации сре</w:t>
      </w:r>
      <w:proofErr w:type="gramStart"/>
      <w:r>
        <w:t>дств пр</w:t>
      </w:r>
      <w:proofErr w:type="gramEnd"/>
      <w:r>
        <w:t>отивопожарной защиты, ведение технической документации на них;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lastRenderedPageBreak/>
        <w:t>режим курения, а также требования к местам для курения и их размещение (при необходимости);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требования к организации мест для применения открытого огня, проведения огневых и иных пожароопасных работ, а также требования по обеспечению пожарной безопасности при их проведении (при необходимости);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порядок обеспечения пожарной безопасности подрядными (субподрядными) субъектами хозяйствования при выполнении работ на объектах субъекта хозяйствования;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обязанности и действия работников при пожаре, в том числе при вызове пожарных аварийно-спасательных подразделений, оповещении (информировании) руководства и дежурных служб объекта, сборе членов добровольных пожарных команд (дружин), тушении пожара с применением имеющихся первичных средств пожаротушения (до прибытия пожарных аварийно-спасательных подразделений и (или) добровольных пожарных команд (дружин));</w:t>
      </w:r>
    </w:p>
    <w:p w:rsidR="000E6C5F" w:rsidRDefault="000E6C5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МЧС от 10.06.2019 N 41)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обязанности и действия работников по обеспечению безопасной эвакуации людей при пожаре (для объектов с ночным пребыванием людей следует рассматривать два сценария: в дневное и ночное время);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мероприятия, исключающие образование дополнительных очагов горения.</w:t>
      </w:r>
    </w:p>
    <w:p w:rsidR="000E6C5F" w:rsidRDefault="000E6C5F">
      <w:pPr>
        <w:pStyle w:val="ConsPlusNormal"/>
        <w:ind w:firstLine="540"/>
        <w:jc w:val="both"/>
      </w:pPr>
      <w:r>
        <w:t>--------------------------------</w:t>
      </w:r>
    </w:p>
    <w:p w:rsidR="000E6C5F" w:rsidRDefault="000E6C5F">
      <w:pPr>
        <w:pStyle w:val="ConsPlusNormal"/>
        <w:ind w:firstLine="540"/>
        <w:jc w:val="both"/>
      </w:pPr>
      <w:proofErr w:type="gramStart"/>
      <w:r>
        <w:t>(сноска &lt;1&gt; исключена с 27 июля 2019 года.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МЧС от 10.06.2019 N 41)</w:t>
      </w:r>
      <w:proofErr w:type="gramEnd"/>
    </w:p>
    <w:p w:rsidR="000E6C5F" w:rsidRDefault="000E6C5F">
      <w:pPr>
        <w:pStyle w:val="ConsPlusNormal"/>
        <w:spacing w:before="220"/>
        <w:ind w:firstLine="540"/>
        <w:jc w:val="both"/>
      </w:pPr>
      <w:r>
        <w:t xml:space="preserve">1-1. При определении в </w:t>
      </w:r>
      <w:proofErr w:type="spellStart"/>
      <w:r>
        <w:t>общеобъектовой</w:t>
      </w:r>
      <w:proofErr w:type="spellEnd"/>
      <w:r>
        <w:t xml:space="preserve"> инструкции по пожарной безопасности требований к местам для курения </w:t>
      </w:r>
      <w:hyperlink w:anchor="P40" w:history="1">
        <w:r>
          <w:rPr>
            <w:color w:val="0000FF"/>
          </w:rPr>
          <w:t>&lt;*&gt;</w:t>
        </w:r>
      </w:hyperlink>
      <w:r>
        <w:t xml:space="preserve"> и их размещения учитывается, что: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специальные места для курения, расположенные вне зданий и сооружений, размещаются не ближе 30 метров от наружных установок категорий</w:t>
      </w:r>
      <w:proofErr w:type="gramStart"/>
      <w:r>
        <w:t xml:space="preserve"> А</w:t>
      </w:r>
      <w:proofErr w:type="gramEnd"/>
      <w:r>
        <w:t xml:space="preserve">н, </w:t>
      </w:r>
      <w:proofErr w:type="spellStart"/>
      <w:r>
        <w:t>Бн</w:t>
      </w:r>
      <w:proofErr w:type="spellEnd"/>
      <w:r>
        <w:t xml:space="preserve"> и </w:t>
      </w:r>
      <w:proofErr w:type="spellStart"/>
      <w:r>
        <w:t>Вн</w:t>
      </w:r>
      <w:proofErr w:type="spellEnd"/>
      <w:r>
        <w:t xml:space="preserve"> по взрывопожарной и пожарной опасности и 18 метров от зданий категорий А и Б по взрывопожарной опасности, а также оборудуются емкостями из негорючих материалов для сбора окурков и табачного пепла;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 xml:space="preserve">комнаты (кабины) для курения, расположенные в зданиях и сооружениях, оборудуются емкостями из негорючих материалов для сбора окурков и табачного пепла, отделка ограждающих конструкций выполняется из негорючих материалов. </w:t>
      </w:r>
      <w:proofErr w:type="gramStart"/>
      <w:r>
        <w:t>В случаях выполнения отделки ограждающих конструкций из горючих материалов или размещения в них мебели из горючих материалов в таких комнатах (кабинах) для курения должно быть не менее одного порошкового огнетушителя с массой огнетушащего вещества не менее 8 килограммов либо не менее двух порошковых огнетушителей с массой огнетушащего вещества не менее 4 килограммов каждый.</w:t>
      </w:r>
      <w:proofErr w:type="gramEnd"/>
    </w:p>
    <w:p w:rsidR="000E6C5F" w:rsidRDefault="000E6C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1-1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МЧС от 10.06.2019 N 41)</w:t>
      </w:r>
    </w:p>
    <w:p w:rsidR="000E6C5F" w:rsidRDefault="000E6C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5F" w:rsidRDefault="000E6C5F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&lt;*&gt; За исключением потребления </w:t>
      </w:r>
      <w:proofErr w:type="spellStart"/>
      <w:r>
        <w:t>некурительных</w:t>
      </w:r>
      <w:proofErr w:type="spellEnd"/>
      <w:r>
        <w:t xml:space="preserve"> табачных изделий HEETS посредством системы нагревания табака типа IQOS и других электронных систем курения.</w:t>
      </w:r>
    </w:p>
    <w:p w:rsidR="000E6C5F" w:rsidRDefault="000E6C5F">
      <w:pPr>
        <w:pStyle w:val="ConsPlusNormal"/>
        <w:jc w:val="both"/>
      </w:pPr>
      <w:r>
        <w:t xml:space="preserve">(сноска &lt;*&gt; введена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МЧС от 10.06.2019 N 41)</w:t>
      </w:r>
    </w:p>
    <w:p w:rsidR="000E6C5F" w:rsidRDefault="000E6C5F">
      <w:pPr>
        <w:pStyle w:val="ConsPlusNormal"/>
        <w:ind w:firstLine="540"/>
        <w:jc w:val="both"/>
      </w:pPr>
    </w:p>
    <w:p w:rsidR="000E6C5F" w:rsidRDefault="000E6C5F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0E6C5F" w:rsidRDefault="000E6C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E6C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6C5F" w:rsidRDefault="000E6C5F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6C5F" w:rsidRDefault="000E6C5F">
            <w:pPr>
              <w:pStyle w:val="ConsPlusNormal"/>
              <w:jc w:val="right"/>
            </w:pPr>
            <w:proofErr w:type="spellStart"/>
            <w:r>
              <w:t>В.А.Ващенко</w:t>
            </w:r>
            <w:proofErr w:type="spellEnd"/>
          </w:p>
        </w:tc>
      </w:tr>
    </w:tbl>
    <w:p w:rsidR="000E6C5F" w:rsidRDefault="000E6C5F">
      <w:pPr>
        <w:pStyle w:val="ConsPlusNormal"/>
      </w:pPr>
    </w:p>
    <w:p w:rsidR="000E6C5F" w:rsidRDefault="000E6C5F">
      <w:pPr>
        <w:pStyle w:val="ConsPlusNormal"/>
      </w:pPr>
    </w:p>
    <w:p w:rsidR="000E6C5F" w:rsidRDefault="000E6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181" w:rsidRDefault="00277181"/>
    <w:sectPr w:rsidR="00277181" w:rsidSect="0003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5F"/>
    <w:rsid w:val="000E6C5F"/>
    <w:rsid w:val="002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C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C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667F3AE08016F161275C061820E69A3B3BE9BB9E31B18A83977AF7E9501522032594F838087195400AA7E6BGDU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3667F3AE08016F161275C061820E69A3B3BE9BB9E31B1EAA3977AF7E9501522032594F838087195400AA7E6FGDUDJ" TargetMode="External"/><Relationship Id="rId12" Type="http://schemas.openxmlformats.org/officeDocument/2006/relationships/hyperlink" Target="consultantplus://offline/ref=CE3667F3AE08016F161275C061820E69A3B3BE9BB9E31B18A83977AF7E9501522032594F838087195400AA7E6BGDU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667F3AE08016F161275C061820E69A3B3BE9BB9E31614A1347CAF7E9501522032594F838087195400AA7D68GDU8J" TargetMode="External"/><Relationship Id="rId11" Type="http://schemas.openxmlformats.org/officeDocument/2006/relationships/hyperlink" Target="consultantplus://offline/ref=CE3667F3AE08016F161275C061820E69A3B3BE9BB9E31B18A83977AF7E9501522032594F838087195400AA7E6BGDUBJ" TargetMode="External"/><Relationship Id="rId5" Type="http://schemas.openxmlformats.org/officeDocument/2006/relationships/hyperlink" Target="consultantplus://offline/ref=CE3667F3AE08016F161275C061820E69A3B3BE9BB9E31B18A83977AF7E9501522032594F838087195400AA7E6BGDU8J" TargetMode="External"/><Relationship Id="rId10" Type="http://schemas.openxmlformats.org/officeDocument/2006/relationships/hyperlink" Target="consultantplus://offline/ref=CE3667F3AE08016F161275C061820E69A3B3BE9BB9E31B18A83977AF7E9501522032594F838087195400AA7E6BGDU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667F3AE08016F161275C061820E69A3B3BE9BB9E31B18A83977AF7E9501522032594F838087195400AA7E6BGDU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Ю. Шишканова</dc:creator>
  <cp:lastModifiedBy>Александра Ю. Шишканова</cp:lastModifiedBy>
  <cp:revision>1</cp:revision>
  <dcterms:created xsi:type="dcterms:W3CDTF">2019-09-17T09:20:00Z</dcterms:created>
  <dcterms:modified xsi:type="dcterms:W3CDTF">2019-09-17T09:20:00Z</dcterms:modified>
</cp:coreProperties>
</file>